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FF0491">
        <w:rPr>
          <w:b/>
          <w:sz w:val="32"/>
          <w:szCs w:val="32"/>
        </w:rPr>
        <w:t>Teachers/Educators</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B26A27">
        <w:rPr>
          <w:b/>
          <w:color w:val="4F81BD" w:themeColor="accent1"/>
          <w:sz w:val="24"/>
          <w:szCs w:val="24"/>
        </w:rPr>
        <w:t>T</w:t>
      </w:r>
      <w:r w:rsidR="00B26A27" w:rsidRPr="00B26A27">
        <w:rPr>
          <w:b/>
          <w:color w:val="4F81BD" w:themeColor="accent1"/>
          <w:sz w:val="24"/>
          <w:szCs w:val="24"/>
        </w:rPr>
        <w:t>o what extent the teachers/educators sub-system has been a major factor in explaining the quality problems we face in our education system</w:t>
      </w:r>
      <w:r w:rsidR="00044B76" w:rsidRPr="00044B76">
        <w:rPr>
          <w:b/>
          <w:color w:val="4F81BD" w:themeColor="accent1"/>
          <w:sz w:val="24"/>
          <w:szCs w:val="24"/>
        </w:rPr>
        <w:t>?</w:t>
      </w:r>
    </w:p>
    <w:tbl>
      <w:tblPr>
        <w:tblStyle w:val="TableGrid"/>
        <w:tblW w:w="0" w:type="auto"/>
        <w:tblLook w:val="04A0" w:firstRow="1" w:lastRow="0" w:firstColumn="1" w:lastColumn="0" w:noHBand="0" w:noVBand="1"/>
      </w:tblPr>
      <w:tblGrid>
        <w:gridCol w:w="3652"/>
        <w:gridCol w:w="5245"/>
        <w:gridCol w:w="3544"/>
      </w:tblGrid>
      <w:tr w:rsidR="003D61A5" w:rsidTr="00044B76">
        <w:trPr>
          <w:cantSplit/>
          <w:trHeight w:val="1223"/>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F11A78" w:rsidRPr="00F11A78" w:rsidRDefault="00F11A78" w:rsidP="00F11A78">
            <w:pPr>
              <w:jc w:val="both"/>
              <w:rPr>
                <w:b/>
                <w:color w:val="4F81BD" w:themeColor="accent1"/>
                <w:szCs w:val="24"/>
              </w:rPr>
            </w:pPr>
            <w:r w:rsidRPr="00F11A78">
              <w:rPr>
                <w:b/>
                <w:color w:val="4F81BD" w:themeColor="accent1"/>
                <w:szCs w:val="24"/>
              </w:rPr>
              <w:t>Entry into the teaching profession</w:t>
            </w:r>
          </w:p>
          <w:p w:rsidR="003D61A5" w:rsidRPr="00416AB6" w:rsidRDefault="003D61A5" w:rsidP="00F41CAA">
            <w:pPr>
              <w:jc w:val="both"/>
              <w:rPr>
                <w:b/>
                <w:color w:val="4F81BD" w:themeColor="accent1"/>
                <w:szCs w:val="24"/>
              </w:rPr>
            </w:pPr>
          </w:p>
        </w:tc>
      </w:tr>
      <w:tr w:rsidR="003D61A5" w:rsidTr="00416AB6">
        <w:trPr>
          <w:trHeight w:val="1790"/>
        </w:trPr>
        <w:tc>
          <w:tcPr>
            <w:tcW w:w="3652" w:type="dxa"/>
            <w:shd w:val="clear" w:color="auto" w:fill="auto"/>
          </w:tcPr>
          <w:p w:rsidR="00F11A78" w:rsidRPr="00F11A78" w:rsidRDefault="00F11A78" w:rsidP="009629BD">
            <w:pPr>
              <w:numPr>
                <w:ilvl w:val="0"/>
                <w:numId w:val="6"/>
              </w:numPr>
              <w:spacing w:line="360" w:lineRule="auto"/>
              <w:jc w:val="both"/>
              <w:rPr>
                <w:rFonts w:ascii="Times New Roman" w:eastAsia="MS Mincho" w:hAnsi="Times New Roman" w:cs="Times New Roman"/>
                <w:b/>
                <w:bCs/>
                <w:sz w:val="20"/>
                <w:szCs w:val="18"/>
              </w:rPr>
            </w:pPr>
            <w:r w:rsidRPr="00F11A78">
              <w:rPr>
                <w:rFonts w:ascii="Times New Roman" w:eastAsia="MS Mincho" w:hAnsi="Times New Roman" w:cs="Times New Roman"/>
                <w:bCs/>
                <w:sz w:val="20"/>
                <w:szCs w:val="18"/>
              </w:rPr>
              <w:t xml:space="preserve">Who is attracted to the teaching profession and why? Do we have data on the profile of those applying for teacher/educator training? </w:t>
            </w:r>
            <w:r w:rsidRPr="00F11A78">
              <w:rPr>
                <w:rFonts w:ascii="Times New Roman" w:eastAsia="MS Mincho" w:hAnsi="Times New Roman" w:cs="Times New Roman"/>
                <w:b/>
                <w:bCs/>
                <w:sz w:val="20"/>
                <w:szCs w:val="18"/>
              </w:rPr>
              <w:t>[Promising practice X.1,Examples of countries which managed to attract the best students to the profession]</w:t>
            </w:r>
          </w:p>
          <w:p w:rsidR="003D61A5" w:rsidRPr="00F11A78" w:rsidRDefault="003D61A5" w:rsidP="006D710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D61A5" w:rsidRDefault="003D61A5" w:rsidP="00557F0F"/>
        </w:tc>
        <w:tc>
          <w:tcPr>
            <w:tcW w:w="3544" w:type="dxa"/>
          </w:tcPr>
          <w:p w:rsidR="003D61A5" w:rsidRDefault="003D61A5" w:rsidP="00557F0F"/>
        </w:tc>
      </w:tr>
      <w:tr w:rsidR="006D7100" w:rsidTr="00F41CAA">
        <w:tc>
          <w:tcPr>
            <w:tcW w:w="3652" w:type="dxa"/>
          </w:tcPr>
          <w:p w:rsidR="00F11A78" w:rsidRPr="00F11A78" w:rsidRDefault="00F11A78" w:rsidP="009629BD">
            <w:pPr>
              <w:pStyle w:val="ListParagraph"/>
              <w:numPr>
                <w:ilvl w:val="0"/>
                <w:numId w:val="6"/>
              </w:numPr>
              <w:spacing w:line="360" w:lineRule="auto"/>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How well do our criteria for selection into training of teacher/educator (e.g. minimum qualification, attitudes and values, motivation) and selection modalities (e.g. exam, interview) </w:t>
            </w:r>
            <w:r w:rsidRPr="00F11A78">
              <w:rPr>
                <w:rFonts w:ascii="Times New Roman" w:eastAsia="MS Mincho" w:hAnsi="Times New Roman" w:cs="Times New Roman"/>
                <w:bCs/>
                <w:sz w:val="20"/>
                <w:szCs w:val="18"/>
              </w:rPr>
              <w:lastRenderedPageBreak/>
              <w:t>reflect the type of teachers/educators we want to train?</w:t>
            </w:r>
          </w:p>
          <w:p w:rsidR="006D7100" w:rsidRPr="00F11A78" w:rsidRDefault="006D7100" w:rsidP="006D7100">
            <w:pPr>
              <w:spacing w:line="360" w:lineRule="auto"/>
              <w:ind w:left="360"/>
              <w:jc w:val="both"/>
              <w:rPr>
                <w:rFonts w:ascii="Times New Roman" w:eastAsia="MS Mincho" w:hAnsi="Times New Roman" w:cs="Times New Roman"/>
                <w:bCs/>
                <w:sz w:val="20"/>
                <w:szCs w:val="18"/>
              </w:rPr>
            </w:pPr>
          </w:p>
        </w:tc>
        <w:tc>
          <w:tcPr>
            <w:tcW w:w="5245" w:type="dxa"/>
          </w:tcPr>
          <w:p w:rsidR="006D7100" w:rsidRDefault="006D7100" w:rsidP="00557F0F"/>
        </w:tc>
        <w:tc>
          <w:tcPr>
            <w:tcW w:w="3544" w:type="dxa"/>
          </w:tcPr>
          <w:p w:rsidR="006D7100" w:rsidRDefault="006D7100" w:rsidP="00557F0F"/>
        </w:tc>
      </w:tr>
      <w:tr w:rsidR="00F11A78" w:rsidTr="00D978A8">
        <w:tc>
          <w:tcPr>
            <w:tcW w:w="12441" w:type="dxa"/>
            <w:gridSpan w:val="3"/>
          </w:tcPr>
          <w:p w:rsidR="00F11A78" w:rsidRPr="00F11A78" w:rsidRDefault="00F11A78" w:rsidP="00F11A78">
            <w:pPr>
              <w:pStyle w:val="ListParagraph"/>
              <w:spacing w:line="360" w:lineRule="auto"/>
              <w:ind w:left="360"/>
              <w:rPr>
                <w:rFonts w:ascii="Times New Roman" w:eastAsia="MS Mincho" w:hAnsi="Times New Roman" w:cs="Times New Roman"/>
                <w:b/>
                <w:bCs/>
                <w:sz w:val="20"/>
                <w:szCs w:val="18"/>
              </w:rPr>
            </w:pPr>
            <w:r w:rsidRPr="00F11A78">
              <w:rPr>
                <w:b/>
                <w:color w:val="4F81BD" w:themeColor="accent1"/>
                <w:szCs w:val="24"/>
              </w:rPr>
              <w:lastRenderedPageBreak/>
              <w:t>Training of teachers/educators</w:t>
            </w:r>
          </w:p>
          <w:p w:rsidR="00F11A78" w:rsidRDefault="00F11A78" w:rsidP="00557F0F"/>
        </w:tc>
      </w:tr>
      <w:tr w:rsidR="006D7100" w:rsidTr="00F41CAA">
        <w:tc>
          <w:tcPr>
            <w:tcW w:w="3652" w:type="dxa"/>
          </w:tcPr>
          <w:p w:rsidR="00F11A78" w:rsidRPr="00F11A78" w:rsidRDefault="00F11A78" w:rsidP="009629BD">
            <w:pPr>
              <w:pStyle w:val="ListParagraph"/>
              <w:numPr>
                <w:ilvl w:val="0"/>
                <w:numId w:val="7"/>
              </w:numPr>
              <w:spacing w:line="360" w:lineRule="auto"/>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What is the profile of the trainers of teachers/educators? How are they trained, recruited, remunerated? Does the financing of training institutions reflect the central role teacher/educator training plays for quality education? </w:t>
            </w:r>
            <w:r w:rsidRPr="00F11A78">
              <w:rPr>
                <w:rFonts w:ascii="Times New Roman" w:eastAsia="MS Mincho" w:hAnsi="Times New Roman" w:cs="Times New Roman"/>
                <w:b/>
                <w:bCs/>
                <w:sz w:val="20"/>
                <w:szCs w:val="18"/>
              </w:rPr>
              <w:t>[Link to Analytical Tool on</w:t>
            </w:r>
            <w:r w:rsidRPr="00F11A78">
              <w:rPr>
                <w:rFonts w:ascii="Times New Roman" w:eastAsia="MS Mincho" w:hAnsi="Times New Roman" w:cs="Times New Roman"/>
                <w:bCs/>
                <w:sz w:val="20"/>
                <w:szCs w:val="18"/>
              </w:rPr>
              <w:t xml:space="preserve"> </w:t>
            </w:r>
            <w:r w:rsidRPr="00F11A78">
              <w:rPr>
                <w:rFonts w:ascii="Times New Roman" w:eastAsia="MS Mincho" w:hAnsi="Times New Roman" w:cs="Times New Roman"/>
                <w:b/>
                <w:bCs/>
                <w:sz w:val="20"/>
                <w:szCs w:val="18"/>
              </w:rPr>
              <w:t>Financing]</w:t>
            </w:r>
            <w:r w:rsidRPr="00F11A78">
              <w:rPr>
                <w:rFonts w:ascii="Times New Roman" w:eastAsia="MS Mincho" w:hAnsi="Times New Roman" w:cs="Times New Roman"/>
                <w:bCs/>
                <w:sz w:val="20"/>
                <w:szCs w:val="18"/>
              </w:rPr>
              <w:t xml:space="preserve"> </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044B76" w:rsidTr="00F41CAA">
        <w:tc>
          <w:tcPr>
            <w:tcW w:w="3652" w:type="dxa"/>
          </w:tcPr>
          <w:p w:rsidR="00F11A78" w:rsidRPr="00F11A78" w:rsidRDefault="00F11A78" w:rsidP="009629BD">
            <w:pPr>
              <w:pStyle w:val="ListParagraph"/>
              <w:numPr>
                <w:ilvl w:val="0"/>
                <w:numId w:val="7"/>
              </w:numPr>
              <w:spacing w:line="360" w:lineRule="auto"/>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How well does teacher/educator assessment reflect the competencies expected of new teachers/educators? Is practical training assessed? What are the modalities of assessment?</w:t>
            </w:r>
          </w:p>
          <w:p w:rsidR="00044B76" w:rsidRPr="00F11A78" w:rsidRDefault="00044B76" w:rsidP="00044B76">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044B76" w:rsidTr="00F41CAA">
        <w:tc>
          <w:tcPr>
            <w:tcW w:w="3652" w:type="dxa"/>
          </w:tcPr>
          <w:p w:rsidR="00F11A78" w:rsidRPr="00F11A78" w:rsidRDefault="00F11A78" w:rsidP="009629BD">
            <w:pPr>
              <w:pStyle w:val="ListParagraph"/>
              <w:numPr>
                <w:ilvl w:val="0"/>
                <w:numId w:val="7"/>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Has the efficiency of our teacher/educator training programs in imparting teachers/educators with the expected knowledge and skills been analyzed? Is there any analysis of the impact of trained teachers/educators  on learners’ achievements? </w:t>
            </w:r>
            <w:r w:rsidRPr="00F11A78">
              <w:rPr>
                <w:rFonts w:ascii="Times New Roman" w:eastAsia="MS Mincho" w:hAnsi="Times New Roman" w:cs="Times New Roman"/>
                <w:bCs/>
                <w:sz w:val="20"/>
                <w:szCs w:val="18"/>
              </w:rPr>
              <w:lastRenderedPageBreak/>
              <w:t>[</w:t>
            </w:r>
            <w:r w:rsidRPr="00F11A78">
              <w:rPr>
                <w:rFonts w:ascii="Times New Roman" w:eastAsia="MS Mincho" w:hAnsi="Times New Roman" w:cs="Times New Roman"/>
                <w:b/>
                <w:bCs/>
                <w:sz w:val="20"/>
                <w:szCs w:val="18"/>
              </w:rPr>
              <w:t>Promising practice X.2]</w:t>
            </w:r>
          </w:p>
          <w:p w:rsidR="00044B76" w:rsidRPr="00F11A78" w:rsidRDefault="00044B76"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F11A78" w:rsidTr="00F41CAA">
        <w:tc>
          <w:tcPr>
            <w:tcW w:w="3652" w:type="dxa"/>
          </w:tcPr>
          <w:p w:rsidR="00F11A78" w:rsidRPr="00F11A78" w:rsidRDefault="00F11A78" w:rsidP="009629BD">
            <w:pPr>
              <w:pStyle w:val="ListParagraph"/>
              <w:numPr>
                <w:ilvl w:val="0"/>
                <w:numId w:val="7"/>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lastRenderedPageBreak/>
              <w:t xml:space="preserve">How has in-service and CPD program been effective in raising the quality standard of our teachers/educators? Do we have evidence of that? </w:t>
            </w:r>
            <w:r w:rsidRPr="00F11A78">
              <w:rPr>
                <w:rFonts w:ascii="Times New Roman" w:eastAsia="MS Mincho" w:hAnsi="Times New Roman" w:cs="Times New Roman"/>
                <w:b/>
                <w:bCs/>
                <w:sz w:val="20"/>
                <w:szCs w:val="18"/>
              </w:rPr>
              <w:t>[Promising practice X.3]</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EA3A34">
        <w:tc>
          <w:tcPr>
            <w:tcW w:w="12441" w:type="dxa"/>
            <w:gridSpan w:val="3"/>
          </w:tcPr>
          <w:p w:rsidR="00F11A78" w:rsidRPr="00F11A78" w:rsidRDefault="00F11A78" w:rsidP="00F11A78">
            <w:pPr>
              <w:pStyle w:val="ListParagraph"/>
              <w:spacing w:line="360" w:lineRule="auto"/>
              <w:ind w:left="360"/>
              <w:rPr>
                <w:b/>
                <w:color w:val="4F81BD" w:themeColor="accent1"/>
                <w:szCs w:val="24"/>
              </w:rPr>
            </w:pPr>
            <w:r w:rsidRPr="00F11A78">
              <w:rPr>
                <w:b/>
                <w:color w:val="4F81BD" w:themeColor="accent1"/>
                <w:szCs w:val="24"/>
              </w:rPr>
              <w:t>Recruitment, deployment and retention of teachers</w:t>
            </w:r>
          </w:p>
          <w:p w:rsidR="00F11A78" w:rsidRPr="00F11A78" w:rsidRDefault="00F11A78" w:rsidP="00F11A78">
            <w:pPr>
              <w:spacing w:line="360" w:lineRule="auto"/>
              <w:jc w:val="both"/>
              <w:rPr>
                <w:rFonts w:ascii="Times New Roman" w:eastAsia="MS Mincho" w:hAnsi="Times New Roman" w:cs="Times New Roman"/>
                <w:bCs/>
                <w:sz w:val="20"/>
                <w:szCs w:val="18"/>
              </w:rPr>
            </w:pPr>
          </w:p>
        </w:tc>
      </w:tr>
      <w:tr w:rsidR="00F11A78" w:rsidTr="00F41CAA">
        <w:tc>
          <w:tcPr>
            <w:tcW w:w="3652" w:type="dxa"/>
          </w:tcPr>
          <w:p w:rsidR="00F11A78" w:rsidRPr="00F11A78" w:rsidRDefault="00F11A78" w:rsidP="009629BD">
            <w:pPr>
              <w:pStyle w:val="ListParagraph"/>
              <w:numPr>
                <w:ilvl w:val="0"/>
                <w:numId w:val="8"/>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What mechanisms are in place to attract and retain the best qualified people to teaching? </w:t>
            </w:r>
            <w:r w:rsidRPr="00F11A78">
              <w:rPr>
                <w:rFonts w:ascii="Times New Roman" w:eastAsia="MS Mincho" w:hAnsi="Times New Roman" w:cs="Times New Roman"/>
                <w:b/>
                <w:bCs/>
                <w:sz w:val="20"/>
                <w:szCs w:val="18"/>
              </w:rPr>
              <w:t>[Link to Analytical Tool Financing for Quality]</w:t>
            </w:r>
            <w:r w:rsidRPr="00F11A78">
              <w:rPr>
                <w:rFonts w:ascii="Times New Roman" w:eastAsia="MS Mincho" w:hAnsi="Times New Roman" w:cs="Times New Roman"/>
                <w:bCs/>
                <w:sz w:val="20"/>
                <w:szCs w:val="18"/>
              </w:rPr>
              <w:t xml:space="preserve"> Have they been effective? What is the extent of teacher/educator attrition in our country? Why did these teachers/educators leave?</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F11A78" w:rsidRPr="00F11A78" w:rsidRDefault="00F11A78" w:rsidP="009629BD">
            <w:pPr>
              <w:pStyle w:val="ListParagraph"/>
              <w:numPr>
                <w:ilvl w:val="0"/>
                <w:numId w:val="8"/>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Are there mechanisms in place for the best teachers/educators to be recognized and rewarded for their teaching</w:t>
            </w:r>
            <w:r w:rsidRPr="00F11A78">
              <w:rPr>
                <w:rFonts w:ascii="Times New Roman" w:eastAsia="MS Mincho" w:hAnsi="Times New Roman" w:cs="Times New Roman"/>
                <w:b/>
                <w:bCs/>
                <w:sz w:val="20"/>
                <w:szCs w:val="18"/>
              </w:rPr>
              <w:t>? [Link to Analytical Tool on financing]</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F11A78" w:rsidRPr="00F11A78" w:rsidRDefault="00F11A78" w:rsidP="009629BD">
            <w:pPr>
              <w:pStyle w:val="ListParagraph"/>
              <w:numPr>
                <w:ilvl w:val="0"/>
                <w:numId w:val="8"/>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Are qualified teachers/educators </w:t>
            </w:r>
            <w:r w:rsidRPr="00F11A78">
              <w:rPr>
                <w:rFonts w:ascii="Times New Roman" w:eastAsia="MS Mincho" w:hAnsi="Times New Roman" w:cs="Times New Roman"/>
                <w:bCs/>
                <w:sz w:val="20"/>
                <w:szCs w:val="18"/>
              </w:rPr>
              <w:lastRenderedPageBreak/>
              <w:t xml:space="preserve">deployed equitably throughout all educational levels, educational settings and in line with curriculum requirements? What are the mechanisms in place to ensure that teacher/educator deployment is equitable and the mechanisms are applied consistently?  </w:t>
            </w:r>
            <w:r w:rsidRPr="00F11A78">
              <w:rPr>
                <w:rFonts w:ascii="Times New Roman" w:eastAsia="MS Mincho" w:hAnsi="Times New Roman" w:cs="Times New Roman"/>
                <w:b/>
                <w:bCs/>
                <w:sz w:val="20"/>
                <w:szCs w:val="18"/>
              </w:rPr>
              <w:t>[Link to Analytical Tool Equity and Inclusion</w:t>
            </w:r>
            <w:r w:rsidRPr="00F11A78">
              <w:rPr>
                <w:rFonts w:ascii="Times New Roman" w:eastAsia="MS Mincho" w:hAnsi="Times New Roman" w:cs="Times New Roman"/>
                <w:bCs/>
                <w:sz w:val="20"/>
                <w:szCs w:val="18"/>
              </w:rPr>
              <w:t>]</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E72D3B">
        <w:trPr>
          <w:trHeight w:val="116"/>
        </w:trPr>
        <w:tc>
          <w:tcPr>
            <w:tcW w:w="12441" w:type="dxa"/>
            <w:gridSpan w:val="3"/>
          </w:tcPr>
          <w:p w:rsidR="00F11A78" w:rsidRPr="00F11A78" w:rsidRDefault="00F11A78" w:rsidP="00F11A78">
            <w:pPr>
              <w:pStyle w:val="ListParagraph"/>
              <w:spacing w:line="360" w:lineRule="auto"/>
              <w:ind w:left="360"/>
              <w:rPr>
                <w:b/>
                <w:color w:val="4F81BD" w:themeColor="accent1"/>
                <w:szCs w:val="24"/>
              </w:rPr>
            </w:pPr>
            <w:r w:rsidRPr="00F11A78">
              <w:rPr>
                <w:b/>
                <w:color w:val="4F81BD" w:themeColor="accent1"/>
                <w:szCs w:val="24"/>
              </w:rPr>
              <w:lastRenderedPageBreak/>
              <w:t>Management of teachers/educators</w:t>
            </w:r>
          </w:p>
          <w:p w:rsidR="00F11A78" w:rsidRPr="00F11A78" w:rsidRDefault="00F11A78" w:rsidP="00F11A78">
            <w:pPr>
              <w:spacing w:line="360" w:lineRule="auto"/>
              <w:jc w:val="both"/>
              <w:rPr>
                <w:rFonts w:ascii="Times New Roman" w:eastAsia="MS Mincho" w:hAnsi="Times New Roman" w:cs="Times New Roman"/>
                <w:bCs/>
                <w:sz w:val="20"/>
                <w:szCs w:val="18"/>
              </w:rPr>
            </w:pPr>
          </w:p>
        </w:tc>
      </w:tr>
      <w:tr w:rsidR="00F11A78" w:rsidTr="00F11A78">
        <w:trPr>
          <w:trHeight w:val="116"/>
        </w:trPr>
        <w:tc>
          <w:tcPr>
            <w:tcW w:w="3652" w:type="dxa"/>
          </w:tcPr>
          <w:p w:rsidR="00F11A78" w:rsidRPr="00F11A78" w:rsidRDefault="00F11A78" w:rsidP="009629BD">
            <w:pPr>
              <w:pStyle w:val="ListParagraph"/>
              <w:numPr>
                <w:ilvl w:val="0"/>
                <w:numId w:val="9"/>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What mechanisms are in place to support teachers/educators at all moments of their career? Do they foster a feeling of motivation and promote increased performance of teachers?</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F11A78" w:rsidRPr="00F11A78" w:rsidRDefault="00F11A78" w:rsidP="009629BD">
            <w:pPr>
              <w:pStyle w:val="ListParagraph"/>
              <w:numPr>
                <w:ilvl w:val="0"/>
                <w:numId w:val="9"/>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 xml:space="preserve">What forms of supervision and performance evaluation are in place and how effective have they been? </w:t>
            </w:r>
            <w:r w:rsidRPr="00F11A78">
              <w:rPr>
                <w:rFonts w:ascii="Times New Roman" w:eastAsia="MS Mincho" w:hAnsi="Times New Roman" w:cs="Times New Roman"/>
                <w:b/>
                <w:bCs/>
                <w:sz w:val="20"/>
                <w:szCs w:val="18"/>
              </w:rPr>
              <w:t>[Link to Analytical Tool on Governance]</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F11A78" w:rsidRPr="00F11A78" w:rsidRDefault="00F11A78" w:rsidP="009629BD">
            <w:pPr>
              <w:pStyle w:val="ListParagraph"/>
              <w:numPr>
                <w:ilvl w:val="0"/>
                <w:numId w:val="9"/>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lastRenderedPageBreak/>
              <w:t>To what extent do teachers/educators participate in planning and decision-making at all levels of the educational system [</w:t>
            </w:r>
            <w:r w:rsidRPr="00F11A78">
              <w:rPr>
                <w:rFonts w:ascii="Times New Roman" w:eastAsia="MS Mincho" w:hAnsi="Times New Roman" w:cs="Times New Roman"/>
                <w:b/>
                <w:bCs/>
                <w:sz w:val="20"/>
                <w:szCs w:val="18"/>
              </w:rPr>
              <w:t>Promising practice X.4]</w:t>
            </w:r>
          </w:p>
          <w:p w:rsidR="00F11A78" w:rsidRPr="00F11A78" w:rsidRDefault="00F11A78" w:rsidP="00F11A78">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091435"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F11A78">
              <w:rPr>
                <w:rFonts w:ascii="Times New Roman" w:hAnsi="Times New Roman" w:cs="Times New Roman"/>
                <w:b/>
                <w:color w:val="4F81BD" w:themeColor="accent1"/>
                <w:sz w:val="24"/>
                <w:szCs w:val="24"/>
              </w:rPr>
              <w:t>Teachers/Educators</w:t>
            </w:r>
            <w:r w:rsidR="00C41BC3">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044B76">
        <w:tc>
          <w:tcPr>
            <w:tcW w:w="4361" w:type="dxa"/>
          </w:tcPr>
          <w:p w:rsidR="00663B73" w:rsidRPr="00663B73" w:rsidRDefault="00663B73" w:rsidP="00F11A78">
            <w:pPr>
              <w:pStyle w:val="ListParagraph"/>
              <w:spacing w:line="360" w:lineRule="auto"/>
              <w:ind w:left="360"/>
              <w:jc w:val="both"/>
              <w:rPr>
                <w:rFonts w:ascii="Times New Roman" w:eastAsia="MS Mincho" w:hAnsi="Times New Roman" w:cs="Times New Roman"/>
                <w:sz w:val="20"/>
                <w:szCs w:val="18"/>
                <w:lang w:val="en-GB"/>
              </w:rPr>
            </w:pPr>
          </w:p>
          <w:p w:rsidR="00F11A78" w:rsidRPr="00F11A78" w:rsidRDefault="00F11A78" w:rsidP="009629BD">
            <w:pPr>
              <w:pStyle w:val="ListParagraph"/>
              <w:numPr>
                <w:ilvl w:val="0"/>
                <w:numId w:val="3"/>
              </w:numPr>
              <w:spacing w:line="360" w:lineRule="auto"/>
              <w:jc w:val="both"/>
              <w:rPr>
                <w:rFonts w:ascii="Times New Roman" w:eastAsia="MS Mincho" w:hAnsi="Times New Roman" w:cs="Times New Roman"/>
                <w:sz w:val="20"/>
                <w:szCs w:val="18"/>
              </w:rPr>
            </w:pPr>
            <w:r w:rsidRPr="00F11A78">
              <w:rPr>
                <w:rFonts w:ascii="Times New Roman" w:eastAsia="MS Mincho" w:hAnsi="Times New Roman" w:cs="Times New Roman"/>
                <w:sz w:val="20"/>
                <w:szCs w:val="18"/>
              </w:rPr>
              <w:t>What are the key areas and binding constraints to be addressed urgently to achieve major improvements in the quality of our teachers/educators current and future?</w:t>
            </w:r>
          </w:p>
          <w:p w:rsidR="003D61A5" w:rsidRPr="00F11A78" w:rsidRDefault="003D61A5" w:rsidP="00F11A78">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044B76">
        <w:trPr>
          <w:trHeight w:val="440"/>
        </w:trPr>
        <w:tc>
          <w:tcPr>
            <w:tcW w:w="4361" w:type="dxa"/>
          </w:tcPr>
          <w:p w:rsidR="00086990" w:rsidRPr="00663B73" w:rsidRDefault="00086990" w:rsidP="00F11A78">
            <w:pPr>
              <w:pStyle w:val="ListParagraph"/>
              <w:spacing w:line="360" w:lineRule="auto"/>
              <w:ind w:left="1440"/>
              <w:jc w:val="both"/>
              <w:rPr>
                <w:rFonts w:ascii="Times New Roman" w:eastAsia="MS Mincho" w:hAnsi="Times New Roman" w:cs="Times New Roman"/>
                <w:sz w:val="20"/>
                <w:szCs w:val="18"/>
                <w:lang w:val="en-GB"/>
              </w:rPr>
            </w:pPr>
          </w:p>
          <w:p w:rsidR="00F11A78" w:rsidRPr="00F11A78" w:rsidRDefault="00F11A78" w:rsidP="009629BD">
            <w:pPr>
              <w:pStyle w:val="ListParagraph"/>
              <w:numPr>
                <w:ilvl w:val="0"/>
                <w:numId w:val="4"/>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What are the knowledge gaps which need to be filled for a evidence-based policy and practice?</w:t>
            </w:r>
          </w:p>
          <w:p w:rsidR="003D61A5" w:rsidRPr="00091435" w:rsidRDefault="003D61A5" w:rsidP="00F11A78">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425E16" w:rsidRPr="006110FC" w:rsidTr="00044B76">
        <w:tc>
          <w:tcPr>
            <w:tcW w:w="4361" w:type="dxa"/>
          </w:tcPr>
          <w:p w:rsidR="00F11A78" w:rsidRPr="00F11A78" w:rsidRDefault="00F11A78" w:rsidP="00F11A78">
            <w:pPr>
              <w:spacing w:line="360" w:lineRule="auto"/>
              <w:jc w:val="both"/>
              <w:rPr>
                <w:rFonts w:ascii="Times New Roman" w:eastAsia="MS Mincho" w:hAnsi="Times New Roman" w:cs="Times New Roman"/>
                <w:bCs/>
                <w:sz w:val="20"/>
                <w:szCs w:val="18"/>
              </w:rPr>
            </w:pPr>
          </w:p>
          <w:p w:rsidR="00F11A78" w:rsidRPr="00F11A78" w:rsidRDefault="00F11A78" w:rsidP="009629BD">
            <w:pPr>
              <w:pStyle w:val="ListParagraph"/>
              <w:numPr>
                <w:ilvl w:val="0"/>
                <w:numId w:val="5"/>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What are the required actions to deal with the priority constraints and the identified knowledge gaps?</w:t>
            </w:r>
          </w:p>
          <w:p w:rsidR="00425E16" w:rsidRPr="00091435" w:rsidRDefault="00425E16" w:rsidP="00F11A78">
            <w:pPr>
              <w:spacing w:line="360" w:lineRule="auto"/>
              <w:jc w:val="both"/>
              <w:rPr>
                <w:rFonts w:ascii="Times New Roman" w:eastAsia="MS Mincho" w:hAnsi="Times New Roman" w:cs="Times New Roman"/>
                <w:sz w:val="20"/>
                <w:szCs w:val="18"/>
              </w:rPr>
            </w:pPr>
          </w:p>
        </w:tc>
        <w:tc>
          <w:tcPr>
            <w:tcW w:w="8815" w:type="dxa"/>
          </w:tcPr>
          <w:p w:rsidR="00425E16" w:rsidRPr="006110FC" w:rsidRDefault="00425E16" w:rsidP="004603F5">
            <w:pPr>
              <w:rPr>
                <w:sz w:val="18"/>
                <w:szCs w:val="18"/>
              </w:rPr>
            </w:pPr>
          </w:p>
        </w:tc>
      </w:tr>
      <w:tr w:rsidR="00F11A78" w:rsidRPr="006110FC" w:rsidTr="00F11A78">
        <w:trPr>
          <w:trHeight w:val="854"/>
        </w:trPr>
        <w:tc>
          <w:tcPr>
            <w:tcW w:w="4361" w:type="dxa"/>
          </w:tcPr>
          <w:p w:rsidR="00F11A78" w:rsidRPr="00F11A78" w:rsidRDefault="00F11A78" w:rsidP="009629BD">
            <w:pPr>
              <w:pStyle w:val="ListParagraph"/>
              <w:numPr>
                <w:ilvl w:val="0"/>
                <w:numId w:val="10"/>
              </w:numPr>
              <w:spacing w:line="360" w:lineRule="auto"/>
              <w:jc w:val="both"/>
              <w:rPr>
                <w:rFonts w:ascii="Times New Roman" w:eastAsia="MS Mincho" w:hAnsi="Times New Roman" w:cs="Times New Roman"/>
                <w:bCs/>
                <w:sz w:val="20"/>
                <w:szCs w:val="18"/>
              </w:rPr>
            </w:pPr>
            <w:r w:rsidRPr="00F11A78">
              <w:rPr>
                <w:rFonts w:ascii="Times New Roman" w:eastAsia="MS Mincho" w:hAnsi="Times New Roman" w:cs="Times New Roman"/>
                <w:bCs/>
                <w:sz w:val="20"/>
                <w:szCs w:val="18"/>
              </w:rPr>
              <w:t>Who does what and when? What will be the coordination mechanism to effect the changes in a cohesive and systemic way?</w:t>
            </w:r>
          </w:p>
        </w:tc>
        <w:tc>
          <w:tcPr>
            <w:tcW w:w="8815" w:type="dxa"/>
          </w:tcPr>
          <w:p w:rsidR="00F11A78" w:rsidRPr="00F11A78" w:rsidRDefault="00F11A78" w:rsidP="00F11A78">
            <w:pPr>
              <w:jc w:val="both"/>
              <w:rPr>
                <w:rFonts w:ascii="Times New Roman" w:hAnsi="Times New Roman"/>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F11A78">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F11A78">
              <w:rPr>
                <w:rFonts w:ascii="Times New Roman" w:hAnsi="Times New Roman" w:cs="Times New Roman"/>
                <w:b/>
                <w:color w:val="4F81BD" w:themeColor="accent1"/>
                <w:sz w:val="24"/>
                <w:szCs w:val="24"/>
              </w:rPr>
              <w:t>Teachers/Educators</w:t>
            </w:r>
            <w:bookmarkStart w:id="0" w:name="_GoBack"/>
            <w:bookmarkEnd w:id="0"/>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BD" w:rsidRDefault="009629BD" w:rsidP="00E175EE">
      <w:pPr>
        <w:spacing w:after="0" w:line="240" w:lineRule="auto"/>
      </w:pPr>
      <w:r>
        <w:separator/>
      </w:r>
    </w:p>
  </w:endnote>
  <w:endnote w:type="continuationSeparator" w:id="0">
    <w:p w:rsidR="009629BD" w:rsidRDefault="009629BD"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F11A78">
          <w:rPr>
            <w:noProof/>
          </w:rPr>
          <w:t>8</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BD" w:rsidRDefault="009629BD" w:rsidP="00E175EE">
      <w:pPr>
        <w:spacing w:after="0" w:line="240" w:lineRule="auto"/>
      </w:pPr>
      <w:r>
        <w:separator/>
      </w:r>
    </w:p>
  </w:footnote>
  <w:footnote w:type="continuationSeparator" w:id="0">
    <w:p w:rsidR="009629BD" w:rsidRDefault="009629BD"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EE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308F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FA4BE8"/>
    <w:multiLevelType w:val="hybridMultilevel"/>
    <w:tmpl w:val="777C34C8"/>
    <w:lvl w:ilvl="0" w:tplc="2E48CC1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03C31"/>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B01E9"/>
    <w:multiLevelType w:val="hybridMultilevel"/>
    <w:tmpl w:val="D1C045F4"/>
    <w:lvl w:ilvl="0" w:tplc="4C7A42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F1D86"/>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B44955"/>
    <w:multiLevelType w:val="hybridMultilevel"/>
    <w:tmpl w:val="968CF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9"/>
  </w:num>
  <w:num w:numId="4">
    <w:abstractNumId w:val="6"/>
  </w:num>
  <w:num w:numId="5">
    <w:abstractNumId w:val="5"/>
  </w:num>
  <w:num w:numId="6">
    <w:abstractNumId w:val="8"/>
  </w:num>
  <w:num w:numId="7">
    <w:abstractNumId w:val="1"/>
  </w:num>
  <w:num w:numId="8">
    <w:abstractNumId w:val="4"/>
  </w:num>
  <w:num w:numId="9">
    <w:abstractNumId w:val="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44B76"/>
    <w:rsid w:val="00061F14"/>
    <w:rsid w:val="0006475D"/>
    <w:rsid w:val="00073CB8"/>
    <w:rsid w:val="00086990"/>
    <w:rsid w:val="00091435"/>
    <w:rsid w:val="00117D43"/>
    <w:rsid w:val="00165253"/>
    <w:rsid w:val="00165776"/>
    <w:rsid w:val="00167FCE"/>
    <w:rsid w:val="0022589C"/>
    <w:rsid w:val="002326BD"/>
    <w:rsid w:val="0023361A"/>
    <w:rsid w:val="002D675C"/>
    <w:rsid w:val="00347539"/>
    <w:rsid w:val="00361909"/>
    <w:rsid w:val="003D61A5"/>
    <w:rsid w:val="00416AB6"/>
    <w:rsid w:val="00425E16"/>
    <w:rsid w:val="004D345A"/>
    <w:rsid w:val="0052073C"/>
    <w:rsid w:val="00550893"/>
    <w:rsid w:val="00551300"/>
    <w:rsid w:val="00557F0F"/>
    <w:rsid w:val="005C4101"/>
    <w:rsid w:val="00663B73"/>
    <w:rsid w:val="006D7100"/>
    <w:rsid w:val="00821611"/>
    <w:rsid w:val="008F522A"/>
    <w:rsid w:val="009629BD"/>
    <w:rsid w:val="0098434F"/>
    <w:rsid w:val="00995B61"/>
    <w:rsid w:val="00AC5535"/>
    <w:rsid w:val="00B26A27"/>
    <w:rsid w:val="00B42B74"/>
    <w:rsid w:val="00C31251"/>
    <w:rsid w:val="00C41BC3"/>
    <w:rsid w:val="00D60A94"/>
    <w:rsid w:val="00E12307"/>
    <w:rsid w:val="00E175EE"/>
    <w:rsid w:val="00F11A78"/>
    <w:rsid w:val="00F41CAA"/>
    <w:rsid w:val="00FC4801"/>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2</cp:revision>
  <dcterms:created xsi:type="dcterms:W3CDTF">2012-04-17T14:18:00Z</dcterms:created>
  <dcterms:modified xsi:type="dcterms:W3CDTF">2012-04-17T14:18:00Z</dcterms:modified>
</cp:coreProperties>
</file>